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0C" w:rsidRDefault="00C2120C">
      <w:r>
        <w:t>Oharra: Bideoetan eskuragarri dauden azpitituluak adimen artifizialeko teknologiarekin sortu dira</w:t>
      </w:r>
    </w:p>
    <w:p w:rsidR="00C2120C" w:rsidRDefault="00C2120C" w:rsidP="00C2120C">
      <w:pPr>
        <w:spacing w:after="80"/>
      </w:pPr>
      <w:r w:rsidRPr="00C2120C">
        <w:t>Aviso: Los subtítulos disponibles en los vídeos han sido generados con tecnología de inteligencia artificial</w:t>
      </w:r>
    </w:p>
    <w:p w:rsidR="00C2120C" w:rsidRDefault="00C2120C" w:rsidP="00C2120C">
      <w:pPr>
        <w:spacing w:after="80"/>
      </w:pP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[00:00:11] Amaia del Campo (EAJ-PNV)</w:t>
      </w:r>
    </w:p>
    <w:p w:rsidR="00C2120C" w:rsidRDefault="00C2120C" w:rsidP="00C2120C">
      <w:pPr>
        <w:spacing w:after="120"/>
        <w:rPr>
          <w:b/>
        </w:rPr>
      </w:pPr>
      <w:hyperlink r:id="rId4" w:history="1">
        <w:r w:rsidRPr="00C2120C">
          <w:rPr>
            <w:rStyle w:val="Hipervnculo"/>
            <w:b/>
          </w:rPr>
          <w:t>/t000011</w:t>
        </w:r>
      </w:hyperlink>
    </w:p>
    <w:p w:rsidR="00C2120C" w:rsidRDefault="00C2120C" w:rsidP="00C2120C">
      <w:pPr>
        <w:spacing w:after="60"/>
        <w:rPr>
          <w:b/>
        </w:rPr>
      </w:pPr>
      <w:r>
        <w:t>Arratsalde on. Vamos a &lt;c.yellow.bg_black&gt;comenzar con esta sesión plenaria, Que tiene un único punto en el orden &lt;c.yellow.bg_black&gt;del día. El punto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80"/>
        <w:rPr>
          <w:b/>
        </w:rPr>
      </w:pPr>
    </w:p>
    <w:p w:rsidR="00C2120C" w:rsidRDefault="00C2120C" w:rsidP="00C2120C">
      <w:pPr>
        <w:spacing w:after="80"/>
        <w:rPr>
          <w:b/>
        </w:rPr>
      </w:pPr>
      <w:r>
        <w:rPr>
          <w:b/>
        </w:rPr>
        <w:t>ÁREA DE ALCALDÍA Y BARRIOS, GOBIERNO ABIERTO, AGENDA URBANA, PROMOCIÓN ECONÓMICA, TURISMO E INNOVACIÓN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80"/>
        <w:rPr>
          <w:b/>
        </w:rPr>
      </w:pPr>
    </w:p>
    <w:p w:rsidR="00C2120C" w:rsidRDefault="00C2120C" w:rsidP="00C2120C">
      <w:pPr>
        <w:spacing w:after="80"/>
        <w:rPr>
          <w:b/>
        </w:rPr>
      </w:pPr>
      <w:r>
        <w:rPr>
          <w:b/>
        </w:rPr>
        <w:t>262/23/2025-1 Propuesta de aprobación, si procede, del proyecto de acuerdo de inicio de nuevo expediente de reintegro de aportaciones económicas a los grupos políticos municipales del mandato 2019-2023.</w:t>
      </w:r>
    </w:p>
    <w:p w:rsidR="00C2120C" w:rsidRDefault="00C2120C" w:rsidP="00C2120C">
      <w:pPr>
        <w:spacing w:after="80"/>
        <w:rPr>
          <w:b/>
        </w:rPr>
      </w:pPr>
      <w:r>
        <w:rPr>
          <w:b/>
        </w:rPr>
        <w:t xml:space="preserve"> [ONARTUA / APROBADO]</w:t>
      </w:r>
    </w:p>
    <w:p w:rsidR="00C2120C" w:rsidRDefault="00C2120C" w:rsidP="00C2120C">
      <w:pPr>
        <w:spacing w:after="120"/>
        <w:rPr>
          <w:b/>
        </w:rPr>
      </w:pPr>
      <w:hyperlink r:id="rId5" w:history="1">
        <w:r w:rsidRPr="00C2120C">
          <w:rPr>
            <w:rStyle w:val="Hipervnculo"/>
            <w:b/>
          </w:rPr>
          <w:t>/1</w:t>
        </w:r>
      </w:hyperlink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[00:00:18] Amaia del Campo (EAJ-PNV)</w:t>
      </w:r>
    </w:p>
    <w:p w:rsidR="00C2120C" w:rsidRDefault="00C2120C" w:rsidP="00C2120C">
      <w:pPr>
        <w:spacing w:after="120"/>
        <w:rPr>
          <w:b/>
        </w:rPr>
      </w:pPr>
      <w:hyperlink r:id="rId6" w:history="1">
        <w:r w:rsidRPr="00C2120C">
          <w:rPr>
            <w:rStyle w:val="Hipervnculo"/>
            <w:b/>
          </w:rPr>
          <w:t>/t000018</w:t>
        </w:r>
      </w:hyperlink>
    </w:p>
    <w:p w:rsidR="00C2120C" w:rsidRDefault="00C2120C" w:rsidP="00C2120C">
      <w:pPr>
        <w:spacing w:after="60"/>
      </w:pPr>
      <w:r>
        <w:t>número uno es la propuesta &lt;c.yellow.bg_black&gt;de aprobación. Si procede del proyecto de acuerdo de &lt;c.yellow.bg_black&gt;inicio del nuevo expediente de reintegro &lt;c.yellow.bg_black&gt;de aportaciones económicas A los grupos políticos &lt;c.yellow.bg_black&gt;municipales del mandato 2019, 2023. ¿Alguna intervención? Podemos.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[00:00:38] Casimiro Castaño (Elkarrekin Podemos)</w:t>
      </w:r>
    </w:p>
    <w:p w:rsidR="00C2120C" w:rsidRDefault="00C2120C" w:rsidP="00C2120C">
      <w:pPr>
        <w:spacing w:after="120"/>
        <w:rPr>
          <w:b/>
        </w:rPr>
      </w:pPr>
      <w:hyperlink r:id="rId7" w:history="1">
        <w:r w:rsidRPr="00C2120C">
          <w:rPr>
            <w:rStyle w:val="Hipervnculo"/>
            <w:b/>
          </w:rPr>
          <w:t>/t000038</w:t>
        </w:r>
      </w:hyperlink>
    </w:p>
    <w:p w:rsidR="00C2120C" w:rsidRDefault="00C2120C" w:rsidP="00C2120C">
      <w:pPr>
        <w:spacing w:after="60"/>
      </w:pPr>
      <w:r>
        <w:t>No. Elkarrekin Elkarrekin Barakaldo. EH. Arratsalde on guztioi. Hoy nos encontramos ante una &lt;c.white.bg_black&gt;propuesta de acuerdo plenario que consideramos que &lt;c.white.bg_black&gt;contiene graves irregularidades tanto de forma como de fondo. Permítame contextualizar &lt;c.white.bg_black&gt;nuestro voto y explicar por qué &lt;c.white.bg_black&gt;rechazamos esta propuesta. En primer lugar, el &lt;c.white.bg_black&gt;acto que origina este expediente de reintegro de aportaciones &lt;c.white.bg_black&gt;económicas a los grupos municipales fue llevado a cabo &lt;c.white.bg_black&gt;por la Alcaldía, un órgano que desde el principio &lt;c.white.bg_black&gt;no tenía competencia para ello. Según el artículo 73 de la &lt;c.white.bg_black&gt;Ley de Bases de Régimen Local, Alcaldía &lt;c.white.bg_black&gt;no tiene facultades para asignar, controlar o &lt;c.white.bg_black&gt;fiscalizar las retribuciones de los grupos municipales. Este hecho que alegamos &lt;c.white.bg_black&gt;desde el inicio fue ignorado, hasta que la Diputación &lt;c.white.bg_black&gt;Foral de Bizkaia lo recordó. Un acto dictado por &lt;c.white.bg_black&gt;un órgano incompetente y fuera del procedimiento legal, &lt;c.white.bg_black&gt;es nulo de pleno derecho, Tal y como establece el artículo &lt;c.white.bg_black&gt;47 de la Ley, 39 barra 2015. Sin embargo, ahora se nos pide que &lt;c.white.bg_black&gt;validemos este procedimiento nulo, lo cual es inaceptable. Además, la alcaldía ha &lt;c.white.bg_black&gt;incurrido en una grave desidia administrativa al permitir &lt;c.white.bg_black&gt;que los expedientes caduquen Incumpliendo los plazos establecidos. Peor aún, intentó &lt;c.white.bg_black&gt;endosar esta declaración de caducidad al pleno, &lt;c.white.bg_black&gt;cuando era su responsabilidad. Esto no solo va contra los &lt;c.white.bg_black&gt;principios de eficacia administrativa, sino que también &lt;c.white.bg_black&gt;evidencia un intento de manipular las competencias del pleno &lt;c.white.bg_black&gt;para justificar sus errores. En segundo lugar, respecto al fondo &lt;c.white.bg_black&gt;del asunto, los gastos están plenamente justificados. &lt;c.white.bg_black&gt;Durante el procedimiento presentamos alegaciones &lt;c.white.bg_black&gt;detalladas respaldadas por la doctrina &lt;c.white.bg_black&gt;del Tribunal de Cuentas, Que considera que los &lt;c.white.bg_black&gt;partidos políticos funcionan como una única entidad, una &lt;c.white.bg_black&gt;única realidad económica o financiera. Además, los convenios &lt;c.white.bg_black&gt;de colaboración suscritos entre el grupo municipales &lt;c.white.bg_black&gt;y los partidos políticos, Que abarcan toda la &lt;c.white.bg_black&gt;legislatura, 2019, 2023, acreditan los &lt;c.white.bg_black&gt;servicios prestados en materia legal, financiera y de asesoramiento. Estos convenios fueron &lt;c.white.bg_black&gt;presentados por la corporación. Perdón, estos convenios fueron &lt;c.white.bg_black&gt;presentados ante la corporación Y no han recibido objeción &lt;c.white.bg_black&gt;alguna por parte del pleno. Por otro lado, se &lt;c.white.bg_black&gt;ha vulnerado el principio establecido en la norma de &lt;c.white.bg_black&gt;ejecución presupuestaria, ya que no se ha dado cuenta &lt;c.white.bg_black&gt;el pleno de los informes de control y fiscalización, como &lt;c.white.bg_black&gt;exige la disposición adicional segunda. Esto no solo priva de &lt;c.white.bg_black&gt;al pleno de información esencial, Sino que también convierte el &lt;c.white.bg_black&gt;procedimiento de reintegro en un acto nulo por falta de &lt;c.white.bg_black&gt;motivación y desviación del procedimiento legal. En resumen, &lt;c.white.bg_black&gt;rechazamos estas propuestas por tres razones principales. Uno, Nulidad de pleno &lt;c.white.bg_black&gt;derecho del procedimiento llevado a cabo por la Alcaldía, Dos, Caducidad de los &lt;c.white.bg_black&gt;expedientes y desidia administrativa, Tres, justificación plena de los &lt;c.white.bg_black&gt;gastos mediante convenios y memorias presentadas. Además, es fundamental recordar &lt;c.white.bg_black&gt;que el Pleno no puede ser utilizado como órgano &lt;c.white.bg_black&gt;títere para validar actuaciones irregulares. La competencia se &lt;c.white.bg_black&gt;ejerce con responsabilidad, y no para justificar errores ajenos. Por todo ello, no avalamos &lt;c.white.bg_black&gt;esta propuesta que se nos trae, y no lo hacemos &lt;c.white.bg_black&gt;porque defendemos los principios de legalidad, Seguridad jurídica &lt;c.white.bg_black&gt;y buena administración. Por todo ello &lt;c.white.bg_black&gt;nos abstendremos. Eskerrik asko.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[00:04:11] Amaia del Campo (EAJ-PNV)</w:t>
      </w:r>
    </w:p>
    <w:p w:rsidR="00C2120C" w:rsidRDefault="00C2120C" w:rsidP="00C2120C">
      <w:pPr>
        <w:spacing w:after="120"/>
        <w:rPr>
          <w:b/>
        </w:rPr>
      </w:pPr>
      <w:hyperlink r:id="rId8" w:history="1">
        <w:r w:rsidRPr="00C2120C">
          <w:rPr>
            <w:rStyle w:val="Hipervnculo"/>
            <w:b/>
          </w:rPr>
          <w:t>/t000411</w:t>
        </w:r>
      </w:hyperlink>
    </w:p>
    <w:p w:rsidR="00C2120C" w:rsidRDefault="00C2120C" w:rsidP="00C2120C">
      <w:pPr>
        <w:spacing w:after="60"/>
      </w:pPr>
      <w:r>
        <w:t>Euskal Herria Bildu.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[00:04:16] Koldo Plazas (EH Bildu)</w:t>
      </w:r>
    </w:p>
    <w:p w:rsidR="00C2120C" w:rsidRDefault="00C2120C" w:rsidP="00C2120C">
      <w:pPr>
        <w:spacing w:after="120"/>
        <w:rPr>
          <w:b/>
        </w:rPr>
      </w:pPr>
      <w:hyperlink r:id="rId9" w:history="1">
        <w:r w:rsidRPr="00C2120C">
          <w:rPr>
            <w:rStyle w:val="Hipervnculo"/>
            <w:b/>
          </w:rPr>
          <w:t>/t000416</w:t>
        </w:r>
      </w:hyperlink>
    </w:p>
    <w:p w:rsidR="00C2120C" w:rsidRDefault="00C2120C" w:rsidP="00C2120C">
      <w:pPr>
        <w:spacing w:after="60"/>
      </w:pPr>
      <w:r>
        <w:t>Bai, arratsalde on. Bueno, también tomamos la palabra en &lt;c.cyan.bg_black&gt;este momento, para hacer una lectura pública De las razones por &lt;c.cyan.bg_black&gt;las que consideramos que las aportaciones recibidas a nuestro &lt;c.cyan.bg_black&gt;grupo municipal están debidamente justificadas, Y para explicar las razones &lt;c.cyan.bg_black&gt;que han llevado a mis compañeras a cum a cumplir hoy &lt;c.cyan.bg_black&gt;con el deber de la abstención. En primer lugar, consideramos que &lt;c.cyan.bg_black&gt;las aportaciones que realizan los grupos municipales a los partidos &lt;c.cyan.bg_black&gt;políticos se encuentran debidamente justificadas Al amparo de lo establecido en &lt;c.cyan.bg_black&gt;el artículo dos, punto uno, apartado e, De la Ley Orgánica &lt;c.cyan.bg_black&gt;ocho barra 2007 del cuatro de julio, sobre &lt;c.cyan.bg_black&gt;financiación de los partidos políticos. En relación al &lt;c.cyan.bg_black&gt;artículo 73, punto tres De la Ley siete. 1985, de dos &lt;c.cyan.bg_black&gt;de abril, de Bases de Régimen Local, Referencia normativa fundamental Que todos los grupos &lt;c.cyan.bg_black&gt;señalamos en nuestras alegaciones, Que establece de forma &lt;c.cyan.bg_black&gt;expresa que los partidos políticos pueden recibir aportaciones &lt;c.cyan.bg_black&gt;de los grupos municipales. Tanto es así, que esa norma sustituyó definitivamente a &lt;c.cyan.bg_black&gt;la ley anterior, Por lo que &lt;c.cyan.bg_black&gt;no puede utilizarse críticos Serios, basados en la legislación &lt;c.cyan.bg_black&gt;derogada, para justificar este expediente. Tanto el Tribunal de Cuentas como el &lt;c.cyan.bg_black&gt;Tribunal Vasco de Cuentas Públicas han sido claros. Estas aportaciones son son &lt;c.cyan.bg_black&gt;legales, siempre que no se destinen a pagar &lt;c.cyan.bg_black&gt;personal municipal ni a adquirir Bienes patrimoniales &lt;c.cyan.bg_black&gt;para la corporación, Y que se encuentran &lt;c.cyan.bg_black&gt;debidamente justificadas con la celebración De un convenio &lt;c.cyan.bg_black&gt;con el partido político. Y aquí se ha acreditado que eso &lt;c.cyan.bg_black&gt;se ha cumplido. Las cuentas están justificadas. Nuestra normativa &lt;c.cyan.bg_black&gt;municipal también deja lo deja claro. La intervención debe &lt;c.cyan.bg_black&gt;verificar lo, el destino y la correcta contabilización &lt;c.cyan.bg_black&gt;de los fondos, no el importe ni el &lt;c.cyan.bg_black&gt;concepto del gasto, siempre dentro de los límites marcados por la &lt;c.cyan.bg_black&gt;ley. Estos límites se han respetado. Además, existe una resolución De 22 de marzo de 2022, En la Comisión Mixta de las &lt;c.cyan.bg_black&gt;Relaciones en el Tribunal de Cuentas, que insta expresamente a que se &lt;c.cyan.bg_black&gt;adopten medidas para que las intervenciones &lt;c.cyan.bg_black&gt;municipales no actúen en contra de los es de lo establecido en &lt;c.cyan.bg_black&gt;el artículo dos, punto uno e de la Ley Orgánica, ocho barra 2007, Anteriormente citada, ni obstaculicen &lt;c.cyan.bg_black&gt;aportaciones que son legales. Por otro lado, La resolución de 21 de &lt;c.cyan.bg_black&gt;diciembre, de 2018 del Tribunal de Cuentas aprobó un plan de &lt;c.cyan.bg_black&gt;contabilidad específico para las formaciones políticas, Una cuenta contable concreta, &lt;c.cyan.bg_black&gt;la siete, 02, uno, con título. Aportaciones recibidas de &lt;c.cyan.bg_black&gt;grupos políticos en entidades locales. En la misma. Dice. El propio Tribunal de &lt;c.cyan.bg_black&gt;Cuentas reconoce y regula formalmente que &lt;c.cyan.bg_black&gt;los partidos políticos pueden recibir aportaciones económicas de &lt;c.cyan.bg_black&gt;los grupos municipales. También dice. Esta cuenta implica &lt;c.cyan.bg_black&gt;que estas aportaciones están previstas, normalizadas, &lt;c.cyan.bg_black&gt;y deben registrarse como tales en la contabilidad de los partidos. En cualquier caso, El inciso final de &lt;c.cyan.bg_black&gt;la disposición adicional segunda De la misma norma de ejecución &lt;c.cyan.bg_black&gt;presupuestaria del Ayuntamiento de Barakaldo dispone, Y leo, los remanentes &lt;c.cyan.bg_black&gt;de la dotación existentes a final de cada MOMEN de &lt;c.cyan.bg_black&gt;cada mandato, una vez efec efectuada la liquidación y aprobada &lt;c.cyan.bg_black&gt;la cuenta del mismo, constituirán el remanente de la dotación &lt;c.cyan.bg_black&gt;de inicio del mandato siguiente, Salvo en el caso &lt;c.cyan.bg_black&gt;de desaparición del grupo político, En cuyo caso deberán ser reintegrados &lt;c.cyan.bg_black&gt;a la tesorería del Ayuntamiento de Barakaldo En el plazo de 15 días, De 15 días anteriores a &lt;c.cyan.bg_black&gt;la constitución de la nueva corporación. Es por todo esto &lt;c.cyan.bg_black&gt;que consideramos los gastos están debidamente justificados, &lt;c.cyan.bg_black&gt;y no procede el inicio de expediente, reintegro. Y en segundo lugar, &lt;c.cyan.bg_black&gt;como quiera que el artículo 76 de la Ley siete. &lt;c.cyan.bg_black&gt;Barra 1985 de dos de abril, Reguladora de Bases &lt;c.cyan.bg_black&gt;de Régimen Local, obliga a los miembros de la COR &lt;c.cyan.bg_black&gt;de las corporaciones locales a Y leo literalmente abstenerse &lt;c.cyan.bg_black&gt;de participar en la deliberación, votación, decisión y ejecución &lt;c.cyan.bg_black&gt;de todo asunto cuando concurra alguna de las causas &lt;c.cyan.bg_black&gt;a que se refiere la legislación de &lt;c.cyan.bg_black&gt;procedimiento administrativo y contratos &lt;c.cyan.bg_black&gt;de administraciones públicas. La actuación de los miembros &lt;c.cyan.bg_black&gt;que concurran tales motivos implicará, cuando &lt;c.cyan.bg_black&gt;haya sido determinante la invalidez de los actos que hayan intervenido. Así, el artículo 23 de la Ley &lt;c.cyan.bg_black&gt;40 barra 2015 de uno de octubre, De Régimen Jurídico &lt;c.cyan.bg_black&gt;del Sector Público, determina que son motivos &lt;c.cyan.bg_black&gt;de abstención los siguientes. Tener interés personal en el &lt;c.cyan.bg_black&gt;asunto de que se trate, Y en otro en cuya resolución pudiera &lt;c.cyan.bg_black&gt;influir la de aquel, ser administrador de sociedad &lt;c.cyan.bg_black&gt;o entidad interesada o tener cuestión litigiosa &lt;c.cyan.bg_black&gt;presi pendiente de algún inter con algún interesado. Y la doctrina del &lt;c.cyan.bg_black&gt;Tribunal Supremo establece literalmente que El deber de abstención por &lt;c.cyan.bg_black&gt;motivos de interés solo debía predicarse &lt;c.cyan.bg_black&gt;de aquellas situaciones en las que se constatase la &lt;c.cyan.bg_black&gt;presencia de intereses cuyo alcance o entidad fuese el &lt;c.cyan.bg_black&gt;que normalmente es capaz de hacer mella o de influir en la &lt;c.cyan.bg_black&gt;voluntad del hombre medio, entre comillas, Puede sufrir un &lt;c.cyan.bg_black&gt;menoscabo importante en el patrimonio. Es, efectivamente, &lt;c.cyan.bg_black&gt;uno de esos intereses Que pueden hacer mella en &lt;c.cyan.bg_black&gt;la voluntad de una persona media. Por eso, Mis compañeras se han visto en la &lt;c.cyan.bg_black&gt;obligación legal de no participar y abandonar &lt;c.cyan.bg_black&gt;el salón de plenos. Los aquí presentes &lt;c.cyan.bg_black&gt;también nos abstendremos en la votación. Eskerrik asko.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[00:09:20] Amaia del Campo (EAJ-PNV)</w:t>
      </w:r>
    </w:p>
    <w:p w:rsidR="00C2120C" w:rsidRDefault="00C2120C" w:rsidP="00C2120C">
      <w:pPr>
        <w:spacing w:after="120"/>
        <w:rPr>
          <w:b/>
        </w:rPr>
      </w:pPr>
      <w:hyperlink r:id="rId10" w:history="1">
        <w:r w:rsidRPr="00C2120C">
          <w:rPr>
            <w:rStyle w:val="Hipervnculo"/>
            <w:b/>
          </w:rPr>
          <w:t>/t000920</w:t>
        </w:r>
      </w:hyperlink>
    </w:p>
    <w:p w:rsidR="00C2120C" w:rsidRDefault="00C2120C" w:rsidP="00C2120C">
      <w:pPr>
        <w:spacing w:after="60"/>
      </w:pPr>
      <w:r>
        <w:t>Partido Socialista.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[00:09:23] Mónica Álvarez (PSE-EE)</w:t>
      </w:r>
    </w:p>
    <w:p w:rsidR="00C2120C" w:rsidRDefault="00C2120C" w:rsidP="00C2120C">
      <w:pPr>
        <w:spacing w:after="120"/>
        <w:rPr>
          <w:b/>
        </w:rPr>
      </w:pPr>
      <w:hyperlink r:id="rId11" w:history="1">
        <w:r w:rsidRPr="00C2120C">
          <w:rPr>
            <w:rStyle w:val="Hipervnculo"/>
            <w:b/>
          </w:rPr>
          <w:t>/t000923</w:t>
        </w:r>
      </w:hyperlink>
    </w:p>
    <w:p w:rsidR="00C2120C" w:rsidRDefault="00C2120C" w:rsidP="00C2120C">
      <w:pPr>
        <w:spacing w:after="60"/>
      </w:pPr>
      <w:r>
        <w:t>Arratsalde on guztioi. &lt;c.lime.bg_black&gt;El proyecto de acuerdo que se trae a &lt;c.lime.bg_black&gt;este punto puede resultar extraño, y tras escuchar &lt;c.lime.bg_black&gt;a los grupos que nos han precedido en &lt;c.lime.bg_black&gt;la palabra queda claro que lo es, y &lt;c.lime.bg_black&gt;esto se debe principalmente a cuestiones que se &lt;c.lime.bg_black&gt;pueden extraer de su propio título, inicio de &lt;c.lime.bg_black&gt;nuevo expediente de reintegro, porque, como han podido &lt;c.lime.bg_black&gt;oír esta cuestión menos, Ya que con esta es la &lt;c.lime.bg_black&gt;tercera vez que se impulsa este procedimiento, y explicaremos &lt;c.lime.bg_black&gt;el motivo de ello, por ser muy revelador y &lt;c.lime.bg_black&gt;la insistencia de volver a impulón de plenos. Por tanto, la condición &lt;c.lime.bg_black&gt;de extraordinario de este pleno, pues, &lt;c.lime.bg_black&gt;parece que muy extraordinario no es. Pero, como decemos por &lt;c.lime.bg_black&gt;el principio, en 2021, este pleno municipal, en &lt;c.lime.bg_black&gt;el que estamos los mismos grupos que entonces &lt;c.lime.bg_black&gt;avaló la necesidad de incluir en la norma &lt;c.lime.bg_black&gt;de ejecución presupuestaria, es decir, en la norma &lt;c.lime.bg_black&gt;que nos indica cómo gestionar bien los fondos &lt;c.lime.bg_black&gt;públicos de este ayuntamiento, el deber de los &lt;c.lime.bg_black&gt;grupos municipales de rendir cuentas sobre dónde destinábamos &lt;c.lime.bg_black&gt;los fondos de este ayuntamiento Nos da para realizar acción política, Al igual que se hace en &lt;c.lime.bg_black&gt;el resto de ayuntamientos y administraciones. Por tanto, si &lt;c.lime.bg_black&gt;todos estábamos de acuerdo en explicar a dónde &lt;c.lime.bg_black&gt;se destina ese dinero, está claro que es porque el dinero &lt;c.lime.bg_black&gt;dado se gasta en lo que se debe, Pero sigamos esa norma de ejecución &lt;c.lime.bg_black&gt;presupuestaria dice cuatro cosas muy reveladoras. &lt;c.lime.bg_black&gt;primero, los grupos políticos deberán llevar &lt;c.lime.bg_black&gt;una contabilidad específica de la dotación concedida. ¿Qué pondrán a &lt;c.lime.bg_black&gt;disposición del Pleno de la corporación siempre &lt;c.lime.bg_black&gt;que este lo pida? segundo, la dotación que se utilice &lt;c.lime.bg_black&gt;para realizar aportaciones al partido político se &lt;c.lime.bg_black&gt;regirán por un convenio que garantice el cumplimiento de &lt;c.lime.bg_black&gt;la normativa de financiación. tercero, el control &lt;c.lime.bg_black&gt;y fiscalización de la intervención se &lt;c.lime.bg_black&gt;limitará a verificar que en la cuenta presentada se &lt;c.lime.bg_black&gt;ajusta a los criterios de &lt;c.lime.bg_black&gt;contabilización específica, Pero no se pronunciará &lt;c.lime.bg_black&gt;ni sobre el importe ni sobre el concepto &lt;c.lime.bg_black&gt;de los gastos efectuados. cuarto, al final de &lt;c.lime.bg_black&gt;cada mandato se deberán liquidar los ingresos y &lt;c.lime.bg_black&gt;gastos realizados hasta dicha fecha, Formándose la &lt;c.lime.bg_black&gt;correspondiente cuenta, dándose cuenta al pleno en la primera &lt;c.lime.bg_black&gt;sesión que se celebre tras la constitución de &lt;c.lime.bg_black&gt;la nueva corporación. Y en todo esto que he leído &lt;c.lime.bg_black&gt;hay que quedarse con varias cuestiones. La primera, &lt;c.lime.bg_black&gt;que la apuesta de la contabilidad a disposición del pleno será &lt;c.lime.bg_black&gt;cuando este la pida. Ya han explicado &lt;c.lime.bg_black&gt;otros grupos que esto no se ha pedido. La segunda, que la &lt;c.lime.bg_black&gt;norma dice que las aportaciones de dinero &lt;c.lime.bg_black&gt;entre el grupo municipal y su partido político Son totalmente legales, y que &lt;c.lime.bg_black&gt;deben sustentarse en un convenio entre &lt;c.lime.bg_black&gt;ellos y señoras y señores, los partidos a los que nos reclaman &lt;c.lime.bg_black&gt;dinero hemos presentado el citado convenio, &lt;c.lime.bg_black&gt;e incluso hemos ido más allá y presentado facturas siempre con sus &lt;c.lime.bg_black&gt;correspondientes pagos. Y aquí los nuestro. La tercera, que &lt;c.lime.bg_black&gt;la propia norma indica que la Intervención General &lt;c.lime.bg_black&gt;del Ayuntamiento de Barakaldo no se pronunciará ni sobre el importe &lt;c.lime.bg_black&gt;ni sobre el concepto de los gastos efectuados, Cuestión esta que se &lt;c.lime.bg_black&gt;ha dado de manera recurrente en los informes que trajeron &lt;c.lime.bg_black&gt;en el pasado pleno, por cierto, también &lt;c.lime.bg_black&gt;extraordinario para dar cuenta de unos informes de &lt;c.lime.bg_black&gt;los que el más reciente era de diciembre de 2023. Y el que este grupo &lt;c.lime.bg_black&gt;sepa, hoy no nos hemos encontrado ninguno de nosotros en &lt;c.lime.bg_black&gt;el primer pleno de este mandato. ¿Y en qué se sustenta &lt;c.lime.bg_black&gt;todo? En los dos informes comentados anteriormente, que &lt;c.lime.bg_black&gt;recoge una cuestión muy significativa? A &lt;c.lime.bg_black&gt;modo de conclusión, La petición de &lt;c.lime.bg_black&gt;modificación de la citada norma por la intervención, &lt;c.lime.bg_black&gt;y es concretamente que se indique que los &lt;c.lime.bg_black&gt;importes no justificados o justificados indebidamente &lt;c.lime.bg_black&gt;deberán ser reintegrados al ayuntamiento. Es, &lt;c.lime.bg_black&gt;por tanto, que la norma de ejecución presupuestaria &lt;c.lime.bg_black&gt;actual no recoge la reintegración de aquellas cantidades &lt;c.lime.bg_black&gt;consideradas no justificadas correctamente. &lt;c.lime.bg_black&gt;Y teniendo en cuenta todo esto, nosotros hemos &lt;c.lime.bg_black&gt;hecho lo que se. Pero. Tras las afirmaciones de &lt;c.lime.bg_black&gt;la intervención, de las que se dio cuenta, como se da, de Decenas de reparos, a lo largo del &lt;c.lime.bg_black&gt;año, en este pleno se decidió impulsar por &lt;c.lime.bg_black&gt;alcaldía el famoso expediente de reintegro ordinario, un &lt;c.lime.bg_black&gt;expediente en el que manifestamos todos los grupos &lt;c.lime.bg_black&gt;municipales y repito todos, que no podía impulsar &lt;c.lime.bg_black&gt;alcaldía, es decir, no era competente, y hubo &lt;c.lime.bg_black&gt;que llegar a preguntar a Diputación para que &lt;c.lime.bg_black&gt;nos diera la razón. Vamos, todo un despropósito. Asimismo, recientemente &lt;c.lime.bg_black&gt;otra incoación de expediente de reintegro &lt;c.lime.bg_black&gt;ha decaído, justificándose la necesidad del mismo en unos &lt;c.lime.bg_black&gt;plazos de caducidad que también se han demostrado equivocados en el proyecto de &lt;c.lime.bg_black&gt;acuerdo que aquí se trae. Por ello, es importante afirmar Que se esté cumpliendo el principio &lt;c.lime.bg_black&gt;de seguridad jurídica para los interesados e &lt;c.lime.bg_black&gt;interesadas, en este caso los concejales &lt;c.lime.bg_black&gt;que se han ausentado del pleno, si de manera reiterada &lt;c.lime.bg_black&gt;se están impulsando expedientes de reintegro &lt;c.lime.bg_black&gt;que reconocen defectos de forma en el procedimiento y en &lt;c.lime.bg_black&gt;la caducidad de aquellos que les precedieron, Por tanto, como &lt;c.lime.bg_black&gt;los grupos municipales como los grupos municipales que de &lt;c.lime.bg_black&gt;manera reiterada han manifestado estas cuestiones &lt;c.lime.bg_black&gt;que no han sido tomadas en cuenta en primer término &lt;c.lime.bg_black&gt;aunque posteriormente hayan sido asumidas por &lt;c.lime.bg_black&gt;parte de la secretaría de este ayuntamiento, &lt;c.lime.bg_black&gt;tiene asegurado que se cumple el &lt;c.lime.bg_black&gt;principio de seguridad jurídica, Así como el &lt;c.lime.bg_black&gt;principio de buena administración con este proyecto &lt;c.lime.bg_black&gt;de acuerdo. Porque este proyecto llega hoy &lt;c.lime.bg_black&gt;aquí sin el respaldo en comisión de la mayoría de los &lt;c.lime.bg_black&gt;grupos municipales, es decir, con un no &lt;c.lime.bg_black&gt;mayoritario, sin que la mayoría del pleno &lt;c.lime.bg_black&gt;haya solicitado la disposición de estas cuentas &lt;c.lime.bg_black&gt;en el mismo, como recoge la norma. Entonces, De que tanta insistencia, si &lt;c.lime.bg_black&gt;la mayoría ha mantenido siempre la misma postura, seguramente la &lt;c.lime.bg_black&gt;conclusión es traernos hoy aquí, afearnos &lt;c.lime.bg_black&gt;la conducta y sembrar la duda entre nosotros con el único &lt;c.lime.bg_black&gt;interés de convertir esto en un de buenos y de malos. Por tanto, si es así, &lt;c.lime.bg_black&gt;a este grupo municipal solo le queda un camino, el de &lt;c.lime.bg_black&gt;la inhibición a los compañeros y compañeras de la pasada legislatura, &lt;c.lime.bg_black&gt;para para poder tener un lugar donde manifestarse de &lt;c.lime.bg_black&gt;manera justa, denunciando todo este procedimiento &lt;c.lime.bg_black&gt;ante un juzgado. Eskerrik asko.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[00:15:05] Amaia del Campo (EAJ-PNV)</w:t>
      </w:r>
    </w:p>
    <w:p w:rsidR="00C2120C" w:rsidRDefault="00C2120C" w:rsidP="00C2120C">
      <w:pPr>
        <w:spacing w:after="120"/>
        <w:rPr>
          <w:b/>
        </w:rPr>
      </w:pPr>
      <w:hyperlink r:id="rId12" w:history="1">
        <w:r w:rsidRPr="00C2120C">
          <w:rPr>
            <w:rStyle w:val="Hipervnculo"/>
            <w:b/>
          </w:rPr>
          <w:t>/t001505</w:t>
        </w:r>
      </w:hyperlink>
    </w:p>
    <w:p w:rsidR="00C2120C" w:rsidRDefault="00C2120C" w:rsidP="00C2120C">
      <w:pPr>
        <w:spacing w:after="60"/>
      </w:pPr>
      <w:r>
        <w:t>Partido Nacionalista Vasco. Bai, Arratsalde on guztioi.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[00:15:09] Jon Andoni Uría (EAJ-PNV)</w:t>
      </w:r>
    </w:p>
    <w:p w:rsidR="00C2120C" w:rsidRDefault="00C2120C" w:rsidP="00C2120C">
      <w:pPr>
        <w:spacing w:after="120"/>
        <w:rPr>
          <w:b/>
        </w:rPr>
      </w:pPr>
      <w:hyperlink r:id="rId13" w:history="1">
        <w:r w:rsidRPr="00C2120C">
          <w:rPr>
            <w:rStyle w:val="Hipervnculo"/>
            <w:b/>
          </w:rPr>
          <w:t>/t001509</w:t>
        </w:r>
      </w:hyperlink>
    </w:p>
    <w:p w:rsidR="00C2120C" w:rsidRDefault="00C2120C" w:rsidP="00C2120C">
      <w:pPr>
        <w:spacing w:after="60"/>
      </w:pPr>
      <w:r>
        <w:t>En base a qué traemos &lt;c.magenta.bg_black&gt;este acuerdo de nuevo al pleno? Los informes de intervención, tras &lt;c.magenta.bg_black&gt;examinar las cuentas justificativas presentadas por &lt;c.magenta.bg_black&gt;los grupos municipales en los que se consideran indebidamente &lt;c.magenta.bg_black&gt;justificados determinados importes, Y la recomendación de &lt;c.magenta.bg_black&gt;secretaría de someterlo de nuevo al pleno tras &lt;c.magenta.bg_black&gt;subsanar las daciones de cuenta de los informes &lt;c.magenta.bg_black&gt;de intervención en el anterior pleno que hicimos &lt;c.magenta.bg_black&gt;el 21 de noviembre, Estas aportaciones cuya &lt;c.magenta.bg_black&gt;naturaleza jurídica se considera por la &lt;c.magenta.bg_black&gt;intervención como subvenciones, Y, siendo así deben ser justificadas &lt;c.magenta.bg_black&gt;y someterse a examen las cuentas presentadas, Igual que cualquier &lt;c.magenta.bg_black&gt;asociación vecinal o club deportivo al &lt;c.magenta.bg_black&gt;que concedemos una subvención, Los técnicos revisan &lt;c.magenta.bg_black&gt;la cuenta justificativa que presentan, y, &lt;c.magenta.bg_black&gt;si existen gastos no justificados, se inicia &lt;c.magenta.bg_black&gt;el procedimiento de reintegro en aplicación &lt;c.magenta.bg_black&gt;de la normativa legal. Este supuesto es lo mismo, Pero cambia Que el órgano competente para &lt;c.magenta.bg_black&gt;acordar el inicio del expediente es el pleno, y no un &lt;c.magenta.bg_black&gt;decreto del área o de alcaldía. En este acuerdo, El pleno de hoy no &lt;c.magenta.bg_black&gt;actúa para pronunciarse sobre el fondo &lt;c.magenta.bg_black&gt;del asunto, sobre si realmente están o no justificadas &lt;c.magenta.bg_black&gt;las aportaciones recibidas. El Pleno en este momento está &lt;c.magenta.bg_black&gt;actuando obligado legalmente como órgano competente &lt;c.magenta.bg_black&gt;para iniciar la tramitación del procedimiento, &lt;c.magenta.bg_black&gt;en base a los informes emitidos, Informes que se han &lt;c.magenta.bg_black&gt;hablado por los anteriores portavoces De la intervención, en los &lt;c.magenta.bg_black&gt;que en todos ellos se solicita El inicio del &lt;c.magenta.bg_black&gt;expediente de reintegro. Y, como se ha dicho &lt;c.magenta.bg_black&gt;también en las anteriores intervenciones, el &lt;c.magenta.bg_black&gt;competente para ese inicio del expediente de reintegro es el pleno. Y siguiendo con la lógica y &lt;c.magenta.bg_black&gt;con la normativa legal que tenemos En este ayuntamiento, &lt;c.magenta.bg_black&gt;el pleno debe ser convocado desde alcaldía, &lt;c.magenta.bg_black&gt;es una obligación legal, Y el pleno se ha &lt;c.magenta.bg_black&gt;convocado, y aquí estamos para Someter a acuerdo o no este &lt;c.magenta.bg_black&gt;inicio de pro de procedimiento de reintegro. Bien, dicho esto, Se puede estar o no de acuerdo Con el criterio técnico, Y para defender &lt;c.magenta.bg_black&gt;las discrepancias existe plazo de alegaciones &lt;c.magenta.bg_black&gt;e incluso recursos administrativos Y judiciales que se &lt;c.magenta.bg_black&gt;puedan realizar y plantear. De hecho, Se han manifestado por &lt;c.magenta.bg_black&gt;los anteriores portavoces, eh, argumentos De defensa y de &lt;c.magenta.bg_black&gt;justificación de las aportaciones realizadas. Prueba de ello también es que este &lt;c.magenta.bg_black&gt;proyecto de acuerdo de inicio de procedimiento contempla &lt;c.magenta.bg_black&gt;un plazo de alegaciones de 15 días, para que las personas &lt;c.magenta.bg_black&gt;y grupos municipales afectados Puedan precisamente manifestar, &lt;c.magenta.bg_black&gt;en su caso, su desacuerdo sobre &lt;c.magenta.bg_black&gt;el fondo del asunto Y ejercer su derecho de defensa Hasta donde consideren. De hecho, El grupo E a Jota Pe &lt;c.magenta.bg_black&gt;Ene Uve no está de acuerdo, y así lo hemos venido recogiendo &lt;c.magenta.bg_black&gt;en las alegaciones efectuadas hasta la fecha. Si bien es cierto también &lt;c.magenta.bg_black&gt;que hemos ingresado el importe Que se nos pide reintegrar en la &lt;c.magenta.bg_black&gt;cuenta del ayuntamiento, pero sin que ello suponga Konforme, da Con el criterio de intervención &lt;c.magenta.bg_black&gt;o renuncia a seguir planteando alegaciones para &lt;c.magenta.bg_black&gt;defender nuestra debida justificación de &lt;c.magenta.bg_black&gt;las aportaciones recibidas, En consecuencia, Con imperativo legal y con reserva &lt;c.magenta.bg_black&gt;de las acciones que como grupo y como personas &lt;c.magenta.bg_black&gt;individuales nos corresponden. Votaremos a favor de este punto. Eskerrik asko.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[00:18:46] Amaia del Campo (EAJ-PNV)</w:t>
      </w:r>
    </w:p>
    <w:p w:rsidR="00C2120C" w:rsidRDefault="00C2120C" w:rsidP="00C2120C">
      <w:pPr>
        <w:spacing w:after="120"/>
        <w:rPr>
          <w:b/>
        </w:rPr>
      </w:pPr>
      <w:hyperlink r:id="rId14" w:history="1">
        <w:r w:rsidRPr="00C2120C">
          <w:rPr>
            <w:rStyle w:val="Hipervnculo"/>
            <w:b/>
          </w:rPr>
          <w:t>/t001846</w:t>
        </w:r>
      </w:hyperlink>
    </w:p>
    <w:p w:rsidR="00C2120C" w:rsidRDefault="00C2120C" w:rsidP="00C2120C">
      <w:pPr>
        <w:spacing w:after="60"/>
      </w:pPr>
      <w:r>
        <w:t>Bien, pues yo sí &lt;c.yellow.bg_black&gt;quiero hacer unas manifestaciones. Por desgracia una se &lt;c.yellow.bg_black&gt;va acostumbrando a escuchar en este pleno. Alegaciones &lt;c.yellow.bg_black&gt;personales y graves acusaciones Que me parecen al &lt;c.yellow.bg_black&gt;margen de injusto, me parecen del todo inadmisible. &lt;c.yellow.bg_black&gt;No voy a entrar a descalificaciones y a cuestiones &lt;c.yellow.bg_black&gt;personales, pero sí a las cuestiones que me &lt;c.yellow.bg_black&gt;competen como alcaldesa. A aclarar. En primer lugar, debo recordarles &lt;c.yellow.bg_black&gt;a todos y a todas que lo que se hace en &lt;c.yellow.bg_black&gt;este ayuntamiento, el procedimiento en el &lt;c.yellow.bg_black&gt;que se toman las decisiones, lo marcan los &lt;c.yellow.bg_black&gt;técnicos municipales, que son quienes interpretan la ley. &lt;c.yellow.bg_black&gt;No podemos actuar con arbitra arbitrariedad. Es decir, son los &lt;c.yellow.bg_black&gt;informes técnicos los que nos dicen qué tenemos que hacer &lt;c.yellow.bg_black&gt;y cómo tenemos que hacerlo. Si dicen que debe hacerse &lt;c.yellow.bg_black&gt;por decreto de alcaldía. Se hace por decreto de alcaldía. Si &lt;c.yellow.bg_black&gt;un informe de la Diputación aconseja, Por seguridad jurídica, traerlo &lt;c.yellow.bg_black&gt;al pleno, se trae a este pleno, no &lt;c.yellow.bg_black&gt;porque la alcaldesa lo quiera, sino porque son los &lt;c.yellow.bg_black&gt;técnicos los que marcan el procedimiento de cómo &lt;c.yellow.bg_black&gt;se deben hacer las cosas. Y es exhausta, y, &lt;c.yellow.bg_black&gt;desde luego, hay muchísima información &lt;c.yellow.bg_black&gt;y muchísimos informes. Voy a leer solo un párrafo &lt;c.yellow.bg_black&gt;que nos dice un imárrafo del informe del interlotor, &lt;c.yellow.bg_black&gt;que nos dice qué tenemos que hacer, y dice. Los importes no justificados o &lt;c.yellow.bg_black&gt;justificados indebidamente, deberán ser reintegrados &lt;c.yellow.bg_black&gt;al ayuntamiento, no pudiéndose aprobar &lt;c.yellow.bg_black&gt;ninguna nueva asignación sin tener justificada La correspondiente al &lt;c.yellow.bg_black&gt;periodo anterior. Eso lo dice un técnico &lt;c.yellow.bg_black&gt;municipal, la intervención municipal. ¿Podemos estar de acuerdo? &lt;c.yellow.bg_black&gt;Podemos estar o no de acuerdo con que si &lt;c.yellow.bg_black&gt;ese convenio justifica o no El empleo de ese &lt;c.yellow.bg_black&gt;dinero, eh. Para eso, eh. Tenemos un procedimiento &lt;c.yellow.bg_black&gt;administrativo. La alcaldesa no decide Si es o no &lt;c.yellow.bg_black&gt;justificada la justificación es o no adecuada. Eso &lt;c.yellow.bg_black&gt;lo deciden los técnicos municipales. Me atrevería a sugerirles que tampoco &lt;c.yellow.bg_black&gt;los miembros de este pleno, que está como órgano administrativo, &lt;c.yellow.bg_black&gt;pueden tomar cualquier decisión en contra &lt;c.yellow.bg_black&gt;de los informes técnicos. Eso está también contemplado en &lt;c.yellow.bg_black&gt;el ordenamiento jurídico. Desde luego, &lt;c.yellow.bg_black&gt;no es esta la alcaldesa la que dice si es o &lt;c.yellow.bg_black&gt;no acorde la justificación. Eso lo dicen los técnicos municipales, en &lt;c.yellow.bg_black&gt;este caso la intervención municipal, que es a quien le compete. Por otro lado, se habla de &lt;c.yellow.bg_black&gt;que no se ha respetado en la dación de cuentas el plazo &lt;c.yellow.bg_black&gt;que marca la norma de ejecución presupuestaria. Debo reconocerles que me &lt;c.yellow.bg_black&gt;ha sorprendido escucharles este argumento, &lt;c.yellow.bg_black&gt;un argumento que fue explicado, según me consta en la Comisión informativa. Y también debo &lt;c.yellow.bg_black&gt;decirles que, dado que se está intentando poner en cuestión, no &lt;c.yellow.bg_black&gt;sé muy bien con qué intención Voy. Explica claramente por qué &lt;c.yellow.bg_black&gt;se hace. Voy a permitirles leer un documento que forma &lt;c.yellow.bg_black&gt;parte también parte de este expediente, Respecto a &lt;c.yellow.bg_black&gt;ese supuesto incumplimiento de la le de la dación &lt;c.yellow.bg_black&gt;de cuenta de. De este informe, según la norma &lt;c.yellow.bg_black&gt;de ejecución presupuestaria, Precisar que la norma de &lt;c.yellow.bg_black&gt;ejecución presupuestaria fija plazo para dar &lt;c.yellow.bg_black&gt;cuenta al pleno, únicamente en el supuesto de &lt;c.yellow.bg_black&gt;informe de intervención referido al final del mandato, &lt;c.yellow.bg_black&gt;señalando que debe producirse en primera &lt;c.yellow.bg_black&gt;sesión que se celebre tras la constitución de &lt;c.yellow.bg_black&gt;la nueva corporación. En mi opinión, lo &lt;c.yellow.bg_black&gt;dice la secretaría municipal. El hecho de que no se haya dado &lt;c.yellow.bg_black&gt;cuenta al pleno de los informes de intervención &lt;c.yellow.bg_black&gt;es una irregularidad que debe subsanarse, pero no &lt;c.yellow.bg_black&gt;invalidaría la apertura de un expediente de reinterno. Es una solicitud. Bueno, &lt;c.yellow.bg_black&gt;habla de una solicitud del grupo Euskal Herria Bildu. La &lt;c.yellow.bg_black&gt;secretaria general ya se informa De que debe &lt;c.yellow.bg_black&gt;darse oportuno cumplimiento a la norma, a las previsiones &lt;c.yellow.bg_black&gt;de la norma de ejecución presupuestaria, &lt;c.yellow.bg_black&gt;a juicio de secretaria, antes de iniciar &lt;c.yellow.bg_black&gt;el expediente, reintegro de aportaciones incorrectamente. &lt;c.yellow.bg_black&gt;Es decir, es un defecto subsanable que no nos exime de la &lt;c.yellow.bg_black&gt;obligación de iniciar este expediente de reintegro. Por otro lado, se ha hablado &lt;c.yellow.bg_black&gt;también de lo que se llama Deber de abstención. Si las personas que estamos o no &lt;c.yellow.bg_black&gt;afectadas debemos o no participar en esta votación, Todos ustedes conocen un &lt;c.yellow.bg_black&gt;informe de quien compete hacer lo que es &lt;c.yellow.bg_black&gt;la secretaría municipal, que nos dice que no &lt;c.yellow.bg_black&gt;solo podemos, sino que debemos participar en este &lt;c.yellow.bg_black&gt;debate de este pleno. Todos ustedes conocen ese &lt;c.yellow.bg_black&gt;informe desde hace mucho tiempo. Por tanto, no &lt;c.yellow.bg_black&gt;existe deber de abstención. Por último, Me gustaría Aclarar, y antes lo comentaba EH &lt;c.yellow.bg_black&gt;también el portavoz del Partido Nacionalista Vasco, Se está actuando como se &lt;c.yellow.bg_black&gt;actúa con las subvenciones de cualquier &lt;c.yellow.bg_black&gt;asociación o colectivo de Barakaldo. La diferencia es que en el &lt;c.yellow.bg_black&gt;caso de las asociaciones el órgano competente es la alcaldesa, y &lt;c.yellow.bg_black&gt;en el caso de los grupos municipales lo es. El pleno. Ni la alcaldesa ni &lt;c.yellow.bg_black&gt;el pleno pueden hacer lo que quieran. Actuar en contra &lt;c.yellow.bg_black&gt;de los informes. Es ilícito. Si la alcaldesa tiene &lt;c.yellow.bg_black&gt;conocimiento de informes técnicos que no consideran debidamente justificada &lt;c.yellow.bg_black&gt;una subvención, tiene obligación de reclamar ese dinero público, &lt;c.yellow.bg_black&gt;dinero de los baracaldeses y Baracaldesas, si no lo &lt;c.yellow.bg_black&gt;hace estaría cometiendo un delito. Los afectados en este caso los &lt;c.yellow.bg_black&gt;partidos políticos y en otros las asociaciones y colectivos &lt;c.yellow.bg_black&gt;de Barakaldo, pueden presentar alegaciones, incluso &lt;c.yellow.bg_black&gt;recurrir a los tribunales. Pero el órgano obligado a &lt;c.yellow.bg_black&gt;dictar la resolución, la alcaldesa O el pleno en &lt;c.yellow.bg_black&gt;este caso no pueden actuar en contra de lo &lt;c.yellow.bg_black&gt;que indican los técnicos municipales. Cada cual asumirá &lt;c.yellow.bg_black&gt;la responsabilidad de su voto y dará &lt;c.yellow.bg_black&gt;las explicaciones donde corresponda, Donde corresponda. Esta alcaldesa. Con este asunto está &lt;c.yellow.bg_black&gt;actuando con la misma vara de medir que este pleno aplica al &lt;c.yellow.bg_black&gt;resto de colectivos y asociaciones de Barakaldo. Según me han informado los &lt;c.yellow.bg_black&gt;técnicos, mi obligación es instar el inicio de este expediente &lt;c.yellow.bg_black&gt;de reintegro, y así lo haré. Como he comentado desde el &lt;c.yellow.bg_black&gt;principio, esta alcaldesa respeta y cumple &lt;c.yellow.bg_black&gt;la ley, y actúa en todo momento según lo dispuesto en nuestro &lt;c.yellow.bg_black&gt;ordenamiento jurídico. Así lo indica el &lt;c.yellow.bg_black&gt;interventor municipal y todos los demás &lt;c.yellow.bg_black&gt;informes técnicos, jurídicos que acompañan este &lt;c.yellow.bg_black&gt;expediente y que todos ustedes conocen. Y por último, ante esas dudas &lt;c.yellow.bg_black&gt;que han presentado, se habla de supuestas Defectos, de formas &lt;c.yellow.bg_black&gt;o incumplimientos de la ley. Yo voy a &lt;c.yellow.bg_black&gt;formular una pregunta si me lo permiten, no &lt;c.yellow.bg_black&gt;sé si el secretario, la vicesecretaria, que son &lt;c.yellow.bg_black&gt;quienes han llevado este expediente en todas las &lt;c.yellow.bg_black&gt;comisiones, porque debo recordar que las máximas responsabilidades &lt;c.yellow.bg_black&gt;jurídicas de este ayuntamiento han asistido a todas &lt;c.yellow.bg_black&gt;las comisiones para darles puntualmente información y responder &lt;c.yellow.bg_black&gt;a todas sus dudas. ¿Existe algún defecto &lt;c.yellow.bg_black&gt;de forma que deba subsanarse en este &lt;c.yellow.bg_black&gt;acto? Es decir, este proyecto que estamos &lt;c.yellow.bg_black&gt;sometiendo a votación ¿se ajusta o no se ajusta a la ley?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[00:25:25] Idazkari/Secretario</w:t>
      </w:r>
    </w:p>
    <w:p w:rsidR="00C2120C" w:rsidRDefault="00C2120C" w:rsidP="00C2120C">
      <w:pPr>
        <w:spacing w:after="120"/>
        <w:rPr>
          <w:b/>
        </w:rPr>
      </w:pPr>
      <w:hyperlink r:id="rId15" w:history="1">
        <w:r w:rsidRPr="00C2120C">
          <w:rPr>
            <w:rStyle w:val="Hipervnculo"/>
            <w:b/>
          </w:rPr>
          <w:t>/t002525</w:t>
        </w:r>
      </w:hyperlink>
    </w:p>
    <w:p w:rsidR="00C2120C" w:rsidRDefault="00C2120C" w:rsidP="00C2120C">
      <w:pPr>
        <w:spacing w:after="60"/>
      </w:pPr>
      <w:r>
        <w:t>¿Se ajusta plenamente?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[00:25:28] Amaia del Campo (EAJ-PNV)</w:t>
      </w:r>
    </w:p>
    <w:p w:rsidR="00C2120C" w:rsidRDefault="00C2120C" w:rsidP="00C2120C">
      <w:pPr>
        <w:spacing w:after="120"/>
        <w:rPr>
          <w:b/>
        </w:rPr>
      </w:pPr>
      <w:hyperlink r:id="rId16" w:history="1">
        <w:r w:rsidRPr="00C2120C">
          <w:rPr>
            <w:rStyle w:val="Hipervnculo"/>
            <w:b/>
          </w:rPr>
          <w:t>/t002528</w:t>
        </w:r>
      </w:hyperlink>
    </w:p>
    <w:p w:rsidR="00C2120C" w:rsidRDefault="00C2120C" w:rsidP="00C2120C">
      <w:pPr>
        <w:spacing w:after="60"/>
      </w:pPr>
      <w:r>
        <w:t>Pues dicho esto y aclarado &lt;c.yellow.bg_black&gt;las dudas, procedemos sin de más intervenciones, a la votación &lt;c.yellow.bg_black&gt;de este punto. Votos a favor, Votos en contra, Abstenciones. Pues damos por concluido este pleno. Queda aprobado. Por leer los votos.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[00:25:50] Idazkari/Secretario</w:t>
      </w:r>
    </w:p>
    <w:p w:rsidR="00C2120C" w:rsidRDefault="00C2120C" w:rsidP="00C2120C">
      <w:pPr>
        <w:spacing w:after="120"/>
        <w:rPr>
          <w:b/>
        </w:rPr>
      </w:pPr>
      <w:hyperlink r:id="rId17" w:history="1">
        <w:r w:rsidRPr="00C2120C">
          <w:rPr>
            <w:rStyle w:val="Hipervnculo"/>
            <w:b/>
          </w:rPr>
          <w:t>/t002550</w:t>
        </w:r>
      </w:hyperlink>
    </w:p>
    <w:p w:rsidR="00C2120C" w:rsidRDefault="00C2120C" w:rsidP="00C2120C">
      <w:pPr>
        <w:spacing w:after="60"/>
      </w:pPr>
      <w:r>
        <w:t>Votos a favor de los 10 miembros &lt;c.white.bg_black&gt;presentes de E. A Jota Pe ene Uve, Del mismo presidente &lt;c.white.bg_black&gt;del Partido Popular, Y la abstención De los Tres miembros presidentes del &lt;c.white.bg_black&gt;Grupo Socialista, de los Tres mismos presidentes &lt;c.white.bg_black&gt;de Euskal Herria Bildu Y del mío presente, de Elkarrekin, &lt;c.white.bg_black&gt;lo cual haces, MMM, siete abstenciones. Con esto</w:t>
      </w:r>
    </w:p>
    <w:p w:rsidR="00C2120C" w:rsidRDefault="00C2120C" w:rsidP="00C2120C">
      <w:pPr>
        <w:spacing w:after="120"/>
        <w:rPr>
          <w:b/>
        </w:rPr>
      </w:pPr>
    </w:p>
    <w:p w:rsidR="00C2120C" w:rsidRDefault="00C2120C" w:rsidP="00C2120C">
      <w:pPr>
        <w:spacing w:after="120"/>
        <w:rPr>
          <w:b/>
        </w:rPr>
      </w:pPr>
      <w:r>
        <w:rPr>
          <w:b/>
        </w:rPr>
        <w:t>[00:26:10] Amaia del Campo (EAJ-PNV)</w:t>
      </w:r>
    </w:p>
    <w:p w:rsidR="00C2120C" w:rsidRDefault="00C2120C" w:rsidP="00C2120C">
      <w:pPr>
        <w:spacing w:after="120"/>
        <w:rPr>
          <w:b/>
        </w:rPr>
      </w:pPr>
      <w:hyperlink r:id="rId18" w:history="1">
        <w:r w:rsidRPr="00C2120C">
          <w:rPr>
            <w:rStyle w:val="Hipervnculo"/>
            <w:b/>
          </w:rPr>
          <w:t>/t002610</w:t>
        </w:r>
      </w:hyperlink>
    </w:p>
    <w:p w:rsidR="00C2120C" w:rsidRDefault="00C2120C" w:rsidP="00C2120C">
      <w:pPr>
        <w:spacing w:after="60"/>
      </w:pPr>
      <w:r>
        <w:t>Damos por concluída la &lt;c.yellow.bg_black&gt;sesión. Eskerrik asko. Arratsalde on.</w:t>
      </w:r>
    </w:p>
    <w:p w:rsidR="00170E9F" w:rsidRPr="00C2120C" w:rsidRDefault="00170E9F" w:rsidP="00C2120C">
      <w:pPr>
        <w:spacing w:after="60"/>
        <w:rPr>
          <w:b/>
        </w:rPr>
      </w:pPr>
    </w:p>
    <w:sectPr w:rsidR="00170E9F" w:rsidRPr="00C2120C" w:rsidSect="00170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2120C"/>
    <w:rsid w:val="000414A1"/>
    <w:rsid w:val="00170E9F"/>
    <w:rsid w:val="00476894"/>
    <w:rsid w:val="00C2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E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212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t000411" TargetMode="External"/><Relationship Id="rId13" Type="http://schemas.openxmlformats.org/officeDocument/2006/relationships/hyperlink" Target="/t001509" TargetMode="External"/><Relationship Id="rId18" Type="http://schemas.openxmlformats.org/officeDocument/2006/relationships/hyperlink" Target="/t0026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/t000038" TargetMode="External"/><Relationship Id="rId12" Type="http://schemas.openxmlformats.org/officeDocument/2006/relationships/hyperlink" Target="/t001505" TargetMode="External"/><Relationship Id="rId17" Type="http://schemas.openxmlformats.org/officeDocument/2006/relationships/hyperlink" Target="/t002550" TargetMode="External"/><Relationship Id="rId2" Type="http://schemas.openxmlformats.org/officeDocument/2006/relationships/settings" Target="settings.xml"/><Relationship Id="rId16" Type="http://schemas.openxmlformats.org/officeDocument/2006/relationships/hyperlink" Target="/t00252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/t000018" TargetMode="External"/><Relationship Id="rId11" Type="http://schemas.openxmlformats.org/officeDocument/2006/relationships/hyperlink" Target="/t000923" TargetMode="External"/><Relationship Id="rId5" Type="http://schemas.openxmlformats.org/officeDocument/2006/relationships/hyperlink" Target="/1" TargetMode="External"/><Relationship Id="rId15" Type="http://schemas.openxmlformats.org/officeDocument/2006/relationships/hyperlink" Target="/t002525" TargetMode="External"/><Relationship Id="rId10" Type="http://schemas.openxmlformats.org/officeDocument/2006/relationships/hyperlink" Target="/t000920" TargetMode="External"/><Relationship Id="rId19" Type="http://schemas.openxmlformats.org/officeDocument/2006/relationships/fontTable" Target="fontTable.xml"/><Relationship Id="rId4" Type="http://schemas.openxmlformats.org/officeDocument/2006/relationships/hyperlink" Target="/t000011" TargetMode="External"/><Relationship Id="rId9" Type="http://schemas.openxmlformats.org/officeDocument/2006/relationships/hyperlink" Target="/t000416" TargetMode="External"/><Relationship Id="rId14" Type="http://schemas.openxmlformats.org/officeDocument/2006/relationships/hyperlink" Target="/t00184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5429</Words>
  <Characters>29860</Characters>
  <Application>Microsoft Office Word</Application>
  <DocSecurity>0</DocSecurity>
  <Lines>248</Lines>
  <Paragraphs>70</Paragraphs>
  <ScaleCrop>false</ScaleCrop>
  <Company/>
  <LinksUpToDate>false</LinksUpToDate>
  <CharactersWithSpaces>35219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hrodriguez@axialtic.com</dc:creator>
  <cp:lastModifiedBy>hrodriguez@axialtic.com</cp:lastModifiedBy>
  <cp:revision>1</cp:revision>
  <dcterms:created xsi:type="dcterms:W3CDTF">2025-12-02T17:57:00Z</dcterms:created>
  <dcterms:modified xsi:type="dcterms:W3CDTF">2025-12-02T17:57:00Z</dcterms:modified>
</cp:coreProperties>
</file>